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DCDCDC" w:sz="12" w:space="6"/>
          <w:right w:val="none" w:color="auto" w:sz="0" w:space="0"/>
        </w:pBdr>
        <w:spacing w:before="0" w:beforeAutospacing="0" w:after="0" w:afterAutospacing="0" w:line="240" w:lineRule="atLeast"/>
        <w:ind w:left="0" w:right="0"/>
        <w:jc w:val="center"/>
        <w:rPr>
          <w:color w:val="00366F"/>
          <w:sz w:val="21"/>
          <w:szCs w:val="21"/>
        </w:rPr>
      </w:pPr>
      <w:bookmarkStart w:id="0" w:name="_GoBack"/>
      <w:r>
        <w:rPr>
          <w:i w:val="0"/>
          <w:iCs w:val="0"/>
          <w:caps w:val="0"/>
          <w:color w:val="00366F"/>
          <w:spacing w:val="0"/>
          <w:sz w:val="21"/>
          <w:szCs w:val="21"/>
          <w:bdr w:val="none" w:color="auto" w:sz="0" w:space="0"/>
          <w:shd w:val="clear" w:fill="FFFFFF"/>
        </w:rPr>
        <w:t>关于横向科研项目经费支出的补充规定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1FF"/>
        <w:spacing w:before="120" w:beforeAutospacing="0" w:after="120" w:afterAutospacing="0" w:line="360" w:lineRule="atLeast"/>
        <w:ind w:left="120" w:right="12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sz w:val="14"/>
          <w:szCs w:val="1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777777"/>
          <w:spacing w:val="0"/>
          <w:kern w:val="0"/>
          <w:sz w:val="14"/>
          <w:szCs w:val="14"/>
          <w:bdr w:val="none" w:color="auto" w:sz="0" w:space="0"/>
          <w:shd w:val="clear" w:fill="F9F1FF"/>
          <w:lang w:val="en-US" w:eastAsia="zh-CN" w:bidi="ar"/>
        </w:rPr>
        <w:t>来源：计划财务处  发布日期：2021-12-21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根据北工商校发〔2021〕32号，《关于横向科研项目经费支出的补充规定》的通知，计划财务处对横向科研项目经费做出如下调整。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一、差旅费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（一）乘坐交通工具的等级做如下调整：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1.部级及相当职务的人员；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2.司局级及相当职务人员（正高级专业技术人员）；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3.在发生日年满50周岁的人员；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满足以上条件之一的人员可乘坐火车软座、软卧、高铁/动车商务座、全列软席列车一等软座；轮船（不包括旅游船）一等舱；飞机头等舱。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4.其他人员：可乘坐火车软座、软卧、高铁/动车一等座、全列软席列车一等软座；轮船（不包括旅游船）二等舱；飞机经济舱。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(二) 住宿费标准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住宿费依照财政部制定的《中央和国家机关工作人员赴地方差旅住宿费标准明细表》上浮一个档次执行，在发生日年满50周岁的人员，按最高标准执行。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二、会议费（指在科研项目实施过程中举办的会议）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1.会议会期、参会人员人数按实际需要确定。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2.会议费中伙食费、住宿费等实行综合定额管理，原则上不超过760元/人/天。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3.不安排住宿的会议，应扣减500元住宿费标准，剩余费用按不超过260元/人/天报销。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三、业务招待费（指项目研发过程中发生的业务招待费）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只能报销北京市内发生的餐费，外地发生的餐费不予报销，并按以下限额执行：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（一）单张发票超过2000元（含），只能使用公务卡或对公转账结算，并提供：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1.菜单。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2.用餐人员名单。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3.经本单位一支笔签批的业务招待费事前审批单。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（二）单张发票在1000元（含）到2000元之间，只能使用公务卡或对公转账结算。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（三）单张发票在1000元以下，可自行选择结算方式。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备注：同一商家开具的连号、跳号发票，金额加总后视同于单张发票金额。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四.专家咨询费（指除本人及课题组成员之外的专家）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专家咨询费按以下限额标准执行：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1.院士、全国知名专家：5000元/人/半天、8000元/人/天。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2.具有高级专业技术职称的专家：3000元/人/半天、5000元/人/天。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3.其他人员：2000元/人/半天、3000元/人/天。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40" w:beforeAutospacing="0" w:after="240" w:afterAutospacing="0" w:line="403" w:lineRule="atLeast"/>
        <w:ind w:left="120" w:right="120" w:firstLine="420"/>
        <w:rPr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备注：上述规定仅适用于全部费用支出均使用横向科研项目经费情况，不适用于不同类别科研项目经费混合报销情况。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355E30"/>
    <w:rsid w:val="7935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2022-04-08T01:27:00Z</dcterms:created>
  <dc:creator>m信乐</dc:creator>
  <cp:lastModifiedBy>m信乐</cp:lastModifiedBy>
  <dcterms:modified xsi:type="dcterms:W3CDTF">2022-04-08T01:27:24Z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ED111701DC224586974B9E505BAF5FEC</vt:lpwstr>
  </property>
</Properties>
</file>